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участием лица, привлекаемого к административной ответственности, - </w:t>
      </w:r>
      <w:r>
        <w:rPr>
          <w:rFonts w:ascii="Times New Roman" w:eastAsia="Times New Roman" w:hAnsi="Times New Roman" w:cs="Times New Roman"/>
          <w:sz w:val="26"/>
          <w:szCs w:val="26"/>
        </w:rPr>
        <w:t>Худиева Э.Р.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Худиева Элчи</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а Ровшановича</w:t>
      </w:r>
      <w:r>
        <w:rPr>
          <w:rFonts w:ascii="Times New Roman" w:eastAsia="Times New Roman" w:hAnsi="Times New Roman" w:cs="Times New Roman"/>
          <w:sz w:val="26"/>
          <w:szCs w:val="26"/>
        </w:rPr>
        <w:t xml:space="preserve">, </w:t>
      </w:r>
      <w:r>
        <w:rPr>
          <w:rStyle w:val="cat-UserDefinedgrp-32rplc-9"/>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Худиев Э.Р.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27.05.2024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15:18</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922 км</w:t>
      </w:r>
      <w:r>
        <w:rPr>
          <w:rFonts w:ascii="Times New Roman" w:eastAsia="Times New Roman" w:hAnsi="Times New Roman" w:cs="Times New Roman"/>
          <w:sz w:val="26"/>
          <w:szCs w:val="26"/>
        </w:rPr>
        <w:t xml:space="preserve"> автодороги</w:t>
      </w:r>
      <w:r>
        <w:rPr>
          <w:rFonts w:ascii="Times New Roman" w:eastAsia="Times New Roman" w:hAnsi="Times New Roman" w:cs="Times New Roman"/>
          <w:sz w:val="26"/>
          <w:szCs w:val="26"/>
        </w:rPr>
        <w:t xml:space="preserve"> Р404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 транспортным средством марки «</w:t>
      </w:r>
      <w:r>
        <w:rPr>
          <w:rStyle w:val="cat-UserDefinedgrp-33rplc-2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4rplc-21"/>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05.06</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Худиева Э.Р.</w:t>
      </w:r>
      <w:r>
        <w:rPr>
          <w:rFonts w:ascii="Times New Roman" w:eastAsia="Times New Roman" w:hAnsi="Times New Roman" w:cs="Times New Roman"/>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Худиев Э.Р.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 вмененным правонарушением согласился. Подтвердил обстоятельства, изложенные в протоколе об администратвивном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w:t>
      </w:r>
      <w:r>
        <w:rPr>
          <w:rFonts w:ascii="Times New Roman" w:eastAsia="Times New Roman" w:hAnsi="Times New Roman" w:cs="Times New Roman"/>
          <w:sz w:val="26"/>
          <w:szCs w:val="26"/>
        </w:rPr>
        <w:t xml:space="preserve">заслушав привлекаемое лицо, </w:t>
      </w:r>
      <w:r>
        <w:rPr>
          <w:rFonts w:ascii="Times New Roman" w:eastAsia="Times New Roman" w:hAnsi="Times New Roman" w:cs="Times New Roman"/>
          <w:sz w:val="26"/>
          <w:szCs w:val="26"/>
        </w:rPr>
        <w:t xml:space="preserve">исследовав приложенные материалы дела, просмотрев видеозаписи на одном цифровом носителе, мировой судья пришел к выводу о наличии события административного правонарушения, предусмотренного ч. 4 ст. 12.15 КоАП РФ, и виновности </w:t>
      </w:r>
      <w:r>
        <w:rPr>
          <w:rFonts w:ascii="Times New Roman" w:eastAsia="Times New Roman" w:hAnsi="Times New Roman" w:cs="Times New Roman"/>
          <w:sz w:val="26"/>
          <w:szCs w:val="26"/>
        </w:rPr>
        <w:t>Худиева Э.Р.</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Худиева Э.Р.</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Style w:val="cat-UserDefinedgrp-36rplc-3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922 км</w:t>
      </w:r>
      <w:r>
        <w:rPr>
          <w:rFonts w:ascii="Times New Roman" w:eastAsia="Times New Roman" w:hAnsi="Times New Roman" w:cs="Times New Roman"/>
          <w:sz w:val="26"/>
          <w:szCs w:val="26"/>
        </w:rPr>
        <w:t xml:space="preserve"> автодороги Р404 Тюмень-Тобольск-Ханты-Мансийск Ханты-Мансийского автономного округа - Югры</w:t>
      </w:r>
      <w:r>
        <w:rPr>
          <w:rFonts w:ascii="Times New Roman" w:eastAsia="Times New Roman" w:hAnsi="Times New Roman" w:cs="Times New Roman"/>
          <w:sz w:val="26"/>
          <w:szCs w:val="26"/>
        </w:rPr>
        <w:t>, из 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Худиева Э.Р.</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видеозаписью</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Худиев Э.Р.</w:t>
      </w:r>
      <w:r>
        <w:rPr>
          <w:rFonts w:ascii="Times New Roman" w:eastAsia="Times New Roman" w:hAnsi="Times New Roman" w:cs="Times New Roman"/>
          <w:sz w:val="26"/>
          <w:szCs w:val="26"/>
        </w:rPr>
        <w:t xml:space="preserve"> при управлении транспортным средством не проявил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Худиева Э.Р.</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Худиев Э.Р.</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Худиева Э.Р.</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Смягчающими ответственность обстоятельствами суд признает, в соответствии с ч.2 ст.4.2 КоАП РФ, признание вины. </w:t>
      </w:r>
    </w:p>
    <w:p>
      <w:pPr>
        <w:spacing w:before="0" w:after="0"/>
        <w:ind w:firstLine="709"/>
        <w:jc w:val="both"/>
        <w:rPr>
          <w:sz w:val="26"/>
          <w:szCs w:val="26"/>
        </w:rPr>
      </w:pP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тягчающих </w:t>
      </w:r>
      <w:r>
        <w:rPr>
          <w:rFonts w:ascii="Times New Roman" w:eastAsia="Times New Roman" w:hAnsi="Times New Roman" w:cs="Times New Roman"/>
          <w:sz w:val="26"/>
          <w:szCs w:val="26"/>
        </w:rPr>
        <w:t>ответственность обстоятельств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привлекаемому лицу</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лица, его имущественное положение, а также </w:t>
      </w:r>
      <w:r>
        <w:rPr>
          <w:rFonts w:ascii="Times New Roman" w:eastAsia="Times New Roman" w:hAnsi="Times New Roman" w:cs="Times New Roman"/>
          <w:sz w:val="26"/>
          <w:szCs w:val="26"/>
        </w:rPr>
        <w:t xml:space="preserve">наличие </w:t>
      </w:r>
      <w:r>
        <w:rPr>
          <w:rFonts w:ascii="Times New Roman" w:eastAsia="Times New Roman" w:hAnsi="Times New Roman" w:cs="Times New Roman"/>
          <w:sz w:val="26"/>
          <w:szCs w:val="26"/>
        </w:rPr>
        <w:t xml:space="preserve">смягчающих и </w:t>
      </w:r>
      <w:r>
        <w:rPr>
          <w:rFonts w:ascii="Times New Roman" w:eastAsia="Times New Roman" w:hAnsi="Times New Roman" w:cs="Times New Roman"/>
          <w:sz w:val="26"/>
          <w:szCs w:val="26"/>
        </w:rPr>
        <w:t xml:space="preserve">отсутствие </w:t>
      </w:r>
      <w:r>
        <w:rPr>
          <w:rFonts w:ascii="Times New Roman" w:eastAsia="Times New Roman" w:hAnsi="Times New Roman" w:cs="Times New Roman"/>
          <w:sz w:val="26"/>
          <w:szCs w:val="26"/>
        </w:rPr>
        <w:t>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Учитывая изложенное и руководствуясь ст.ст.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Худиева Элчи</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а Ровшановича </w:t>
      </w:r>
      <w:r>
        <w:rPr>
          <w:rFonts w:ascii="Times New Roman" w:eastAsia="Times New Roman" w:hAnsi="Times New Roman" w:cs="Times New Roman"/>
          <w:sz w:val="26"/>
          <w:szCs w:val="26"/>
        </w:rPr>
        <w:t>виновным в совершении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18810486240910009503</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№6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каб.115.</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2rplc-9">
    <w:name w:val="cat-UserDefined grp-32 rplc-9"/>
    <w:basedOn w:val="DefaultParagraphFont"/>
  </w:style>
  <w:style w:type="character" w:customStyle="1" w:styleId="cat-UserDefinedgrp-33rplc-20">
    <w:name w:val="cat-UserDefined grp-33 rplc-20"/>
    <w:basedOn w:val="DefaultParagraphFont"/>
  </w:style>
  <w:style w:type="character" w:customStyle="1" w:styleId="cat-UserDefinedgrp-34rplc-21">
    <w:name w:val="cat-UserDefined grp-34 rplc-21"/>
    <w:basedOn w:val="DefaultParagraphFont"/>
  </w:style>
  <w:style w:type="character" w:customStyle="1" w:styleId="cat-UserDefinedgrp-36rplc-31">
    <w:name w:val="cat-UserDefined grp-36 rplc-31"/>
    <w:basedOn w:val="DefaultParagraphFont"/>
  </w:style>
  <w:style w:type="character" w:customStyle="1" w:styleId="cat-UserDefinedgrp-35rplc-55">
    <w:name w:val="cat-UserDefined grp-35 rplc-5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